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color w:val="000080"/>
          <w:sz w:val="30"/>
          <w:szCs w:val="3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color w:val="000080"/>
          <w:sz w:val="30"/>
          <w:szCs w:val="30"/>
          <w:rtl w:val="0"/>
        </w:rPr>
        <w:t xml:space="preserve">SRI SIDDHARTHA ACADEMY OF HIGHER EDUCATION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-507160</wp:posOffset>
            </wp:positionH>
            <wp:positionV relativeFrom="paragraph">
              <wp:posOffset>65106</wp:posOffset>
            </wp:positionV>
            <wp:extent cx="688316" cy="690113"/>
            <wp:effectExtent b="0" l="0" r="0" t="0"/>
            <wp:wrapNone/>
            <wp:docPr descr="New Logo - August- 2013" id="3" name="image1.jpg"/>
            <a:graphic>
              <a:graphicData uri="http://schemas.openxmlformats.org/drawingml/2006/picture">
                <pic:pic>
                  <pic:nvPicPr>
                    <pic:cNvPr descr="New Logo - August- 2013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316" cy="690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-720" w:right="36" w:firstLine="0"/>
        <w:jc w:val="center"/>
        <w:rPr>
          <w:rFonts w:ascii="Bookman Old Style" w:cs="Bookman Old Style" w:eastAsia="Bookman Old Style" w:hAnsi="Bookman Old Style"/>
          <w:b w:val="1"/>
          <w:sz w:val="18"/>
          <w:szCs w:val="1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8"/>
          <w:szCs w:val="18"/>
          <w:rtl w:val="0"/>
        </w:rPr>
        <w:t xml:space="preserve">(DEEMED TO BE UNIVERSITY)</w:t>
      </w:r>
    </w:p>
    <w:p w:rsidR="00000000" w:rsidDel="00000000" w:rsidP="00000000" w:rsidRDefault="00000000" w:rsidRPr="00000000" w14:paraId="00000003">
      <w:pPr>
        <w:spacing w:after="0" w:line="240" w:lineRule="auto"/>
        <w:ind w:left="-720" w:right="36" w:firstLine="0"/>
        <w:jc w:val="center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Declared under Section 3 of the UGC Act, 1956, </w:t>
      </w:r>
      <w:r w:rsidDel="00000000" w:rsidR="00000000" w:rsidRPr="00000000">
        <w:rPr>
          <w:b w:val="1"/>
          <w:sz w:val="18"/>
          <w:szCs w:val="18"/>
          <w:rtl w:val="0"/>
        </w:rPr>
        <w:t xml:space="preserve">MHRD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GOI No. F.9-31/2006-U.3 (A) dated: 30/05/2008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1"/>
          <w:color w:val="800000"/>
          <w:rtl w:val="0"/>
        </w:rPr>
        <w:t xml:space="preserve">Accredited ‘A’ Grade by NAAC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52"/>
          <w:tab w:val="center" w:leader="none" w:pos="5112"/>
        </w:tabs>
        <w:spacing w:after="0" w:line="240" w:lineRule="auto"/>
        <w:ind w:left="-720" w:right="36" w:firstLine="0"/>
        <w:jc w:val="center"/>
        <w:rPr>
          <w:rFonts w:ascii="Bookman Old Style" w:cs="Bookman Old Style" w:eastAsia="Bookman Old Style" w:hAnsi="Bookman Old Style"/>
          <w:b w:val="1"/>
          <w:color w:val="000000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Agalakote, B.H.Road, Tumkur – 572 107.KARNATAKA,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-720" w:right="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Ph. 0816- 2275516, 2275512 , Fax : 0816-2275510 website: sahetumkur.ac.in  email: info@sahe.in , iqac@sahe.in</w:t>
      </w:r>
    </w:p>
    <w:p w:rsidR="00000000" w:rsidDel="00000000" w:rsidP="00000000" w:rsidRDefault="00000000" w:rsidRPr="00000000" w14:paraId="00000007">
      <w:pPr>
        <w:spacing w:after="0" w:line="240" w:lineRule="auto"/>
        <w:ind w:left="-720" w:right="36" w:firstLine="0"/>
        <w:jc w:val="center"/>
        <w:rPr>
          <w:rFonts w:ascii="Century Schoolbook" w:cs="Century Schoolbook" w:eastAsia="Century Schoolbook" w:hAnsi="Century Schoolbook"/>
          <w:i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3000" y="3870805"/>
                          <a:ext cx="88011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67"/>
        </w:tabs>
        <w:spacing w:after="0" w:line="240" w:lineRule="auto"/>
        <w:ind w:right="5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67"/>
        </w:tabs>
        <w:ind w:right="5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1.2.1.2 Total number of Programmes where there is regulatory provision for CBCS/Elective course system implemented.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67"/>
        </w:tabs>
        <w:ind w:right="58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67"/>
        </w:tabs>
        <w:ind w:right="58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Response: 28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67"/>
        </w:tabs>
        <w:ind w:right="58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  <w:font w:name="Bookman Old Style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57B0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semiHidden w:val="1"/>
    <w:unhideWhenUsed w:val="1"/>
    <w:rsid w:val="001639DC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639DC"/>
    <w:rPr>
      <w:rFonts w:ascii="Times New Roman" w:cs="Times New Roman" w:eastAsia="Times New Roman" w:hAnsi="Times New Roman"/>
      <w:sz w:val="24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4c2h1Ea9lgUsu8+F4+dsygaYqA==">AMUW2mXf8GcldknpTzXevAPCtB4BlOL1drQizhhtVKpSwuR0TgRKD7ou8Xs4TtN9yR4adfBxA/7nF5gOhJJYBnWH+pdEdLG2cpFUPQiZmtB1dAyQOH0SPqw=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2020-08-11T06:56:00Z</dcterms:created>
  <dc:creator>admin</dc:creator>
</cp:coreProperties>
</file>